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30" w:rsidRDefault="00E671E3" w:rsidP="005620D7">
      <w:pPr>
        <w:jc w:val="center"/>
        <w:rPr>
          <w:rFonts w:ascii="Arial" w:hAnsi="Arial" w:cs="Arial"/>
          <w:b/>
          <w:sz w:val="24"/>
          <w:szCs w:val="24"/>
        </w:rPr>
      </w:pPr>
      <w:r>
        <w:rPr>
          <w:rFonts w:ascii="Arial" w:hAnsi="Arial" w:cs="Arial"/>
          <w:b/>
          <w:sz w:val="24"/>
          <w:szCs w:val="24"/>
        </w:rPr>
        <w:t>Pupil Premium Allocations 2014 -2015</w:t>
      </w:r>
    </w:p>
    <w:p w:rsidR="00904B6C" w:rsidRDefault="00904B6C" w:rsidP="005620D7">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04B6C" w:rsidRDefault="00904B6C" w:rsidP="005620D7">
      <w:pPr>
        <w:rPr>
          <w:rFonts w:ascii="Arial" w:hAnsi="Arial" w:cs="Arial"/>
          <w:sz w:val="24"/>
          <w:szCs w:val="24"/>
        </w:rPr>
      </w:pPr>
      <w:r>
        <w:rPr>
          <w:rFonts w:ascii="Arial" w:hAnsi="Arial" w:cs="Arial"/>
          <w:sz w:val="24"/>
          <w:szCs w:val="24"/>
        </w:rPr>
        <w:t>For the fina</w:t>
      </w:r>
      <w:r w:rsidR="00E671E3">
        <w:rPr>
          <w:rFonts w:ascii="Arial" w:hAnsi="Arial" w:cs="Arial"/>
          <w:sz w:val="24"/>
          <w:szCs w:val="24"/>
        </w:rPr>
        <w:t>ncial year (April to April) 2014 – 2015</w:t>
      </w:r>
      <w:r w:rsidR="00914738">
        <w:rPr>
          <w:rFonts w:ascii="Arial" w:hAnsi="Arial" w:cs="Arial"/>
          <w:sz w:val="24"/>
          <w:szCs w:val="24"/>
        </w:rPr>
        <w:t xml:space="preserve"> Tintwistle</w:t>
      </w:r>
      <w:r w:rsidR="009A5412">
        <w:rPr>
          <w:rFonts w:ascii="Arial" w:hAnsi="Arial" w:cs="Arial"/>
          <w:sz w:val="24"/>
          <w:szCs w:val="24"/>
        </w:rPr>
        <w:t xml:space="preserve"> receive</w:t>
      </w:r>
      <w:r w:rsidR="00914738">
        <w:rPr>
          <w:rFonts w:ascii="Arial" w:hAnsi="Arial" w:cs="Arial"/>
          <w:sz w:val="24"/>
          <w:szCs w:val="24"/>
        </w:rPr>
        <w:t>d</w:t>
      </w:r>
      <w:r>
        <w:rPr>
          <w:rFonts w:ascii="Arial" w:hAnsi="Arial" w:cs="Arial"/>
          <w:sz w:val="24"/>
          <w:szCs w:val="24"/>
        </w:rPr>
        <w:t xml:space="preserve"> </w:t>
      </w:r>
      <w:r w:rsidR="00E671E3">
        <w:rPr>
          <w:rFonts w:ascii="Arial" w:hAnsi="Arial" w:cs="Arial"/>
          <w:sz w:val="24"/>
          <w:szCs w:val="24"/>
        </w:rPr>
        <w:t>£31</w:t>
      </w:r>
      <w:r>
        <w:rPr>
          <w:rFonts w:ascii="Arial" w:hAnsi="Arial" w:cs="Arial"/>
          <w:sz w:val="24"/>
          <w:szCs w:val="24"/>
        </w:rPr>
        <w:t>,</w:t>
      </w:r>
      <w:r w:rsidR="00C62A89">
        <w:rPr>
          <w:rFonts w:ascii="Arial" w:hAnsi="Arial" w:cs="Arial"/>
          <w:sz w:val="24"/>
          <w:szCs w:val="24"/>
        </w:rPr>
        <w:t>444</w:t>
      </w:r>
      <w:r>
        <w:rPr>
          <w:rFonts w:ascii="Arial" w:hAnsi="Arial" w:cs="Arial"/>
          <w:sz w:val="24"/>
          <w:szCs w:val="24"/>
        </w:rPr>
        <w:t xml:space="preserve"> from the pupil premium.</w:t>
      </w:r>
    </w:p>
    <w:p w:rsidR="00E671E3" w:rsidRDefault="00E671E3" w:rsidP="005620D7">
      <w:pPr>
        <w:rPr>
          <w:rFonts w:ascii="Arial" w:hAnsi="Arial" w:cs="Arial"/>
          <w:sz w:val="24"/>
          <w:szCs w:val="24"/>
        </w:rPr>
      </w:pPr>
      <w:r>
        <w:rPr>
          <w:rFonts w:ascii="Arial" w:hAnsi="Arial" w:cs="Arial"/>
          <w:sz w:val="24"/>
          <w:szCs w:val="24"/>
        </w:rPr>
        <w:t xml:space="preserve">We use </w:t>
      </w:r>
      <w:r w:rsidR="005620D7">
        <w:rPr>
          <w:rFonts w:ascii="Arial" w:hAnsi="Arial" w:cs="Arial"/>
          <w:sz w:val="24"/>
          <w:szCs w:val="24"/>
        </w:rPr>
        <w:t>Read Write Inc</w:t>
      </w:r>
      <w:r w:rsidR="00904B6C">
        <w:rPr>
          <w:rFonts w:ascii="Arial" w:hAnsi="Arial" w:cs="Arial"/>
          <w:sz w:val="24"/>
          <w:szCs w:val="24"/>
        </w:rPr>
        <w:t>.</w:t>
      </w:r>
      <w:r>
        <w:rPr>
          <w:rFonts w:ascii="Arial" w:hAnsi="Arial" w:cs="Arial"/>
          <w:sz w:val="24"/>
          <w:szCs w:val="24"/>
        </w:rPr>
        <w:t xml:space="preserve"> to deliver small group tightly focussed support for the delivery of phonics in KS1 and employ additional teaching assistants in order to do this. Pupil premium children are provided with 1:1 phonics support when necessary.</w:t>
      </w:r>
    </w:p>
    <w:p w:rsidR="00E671E3" w:rsidRDefault="00E671E3" w:rsidP="005620D7">
      <w:pPr>
        <w:rPr>
          <w:rFonts w:ascii="Arial" w:hAnsi="Arial" w:cs="Arial"/>
          <w:sz w:val="24"/>
          <w:szCs w:val="24"/>
        </w:rPr>
      </w:pPr>
      <w:r>
        <w:rPr>
          <w:rFonts w:ascii="Arial" w:hAnsi="Arial" w:cs="Arial"/>
          <w:sz w:val="24"/>
          <w:szCs w:val="24"/>
        </w:rPr>
        <w:t>We are also challenging our most academically able pupil premium children to achieve top levels in maths and have set up an after school group to support them.</w:t>
      </w:r>
    </w:p>
    <w:p w:rsidR="00E671E3" w:rsidRDefault="00E671E3" w:rsidP="005620D7">
      <w:pPr>
        <w:rPr>
          <w:rFonts w:ascii="Arial" w:hAnsi="Arial" w:cs="Arial"/>
          <w:sz w:val="24"/>
          <w:szCs w:val="24"/>
        </w:rPr>
      </w:pPr>
      <w:r>
        <w:rPr>
          <w:rFonts w:ascii="Arial" w:hAnsi="Arial" w:cs="Arial"/>
          <w:sz w:val="24"/>
          <w:szCs w:val="24"/>
        </w:rPr>
        <w:t>For those pupil premium children who struggle with maths we have trained two teaching assistants (one KS1 and one KS2) to deliver Numbers Count</w:t>
      </w:r>
      <w:r w:rsidR="007241EC">
        <w:rPr>
          <w:rFonts w:ascii="Arial" w:hAnsi="Arial" w:cs="Arial"/>
          <w:sz w:val="24"/>
          <w:szCs w:val="24"/>
        </w:rPr>
        <w:t xml:space="preserve"> and S</w:t>
      </w:r>
      <w:bookmarkStart w:id="0" w:name="_GoBack"/>
      <w:bookmarkEnd w:id="0"/>
      <w:r w:rsidR="007241EC">
        <w:rPr>
          <w:rFonts w:ascii="Arial" w:hAnsi="Arial" w:cs="Arial"/>
          <w:sz w:val="24"/>
          <w:szCs w:val="24"/>
        </w:rPr>
        <w:t>uccess@arithmetic, both</w:t>
      </w:r>
      <w:r>
        <w:rPr>
          <w:rFonts w:ascii="Arial" w:hAnsi="Arial" w:cs="Arial"/>
          <w:sz w:val="24"/>
          <w:szCs w:val="24"/>
        </w:rPr>
        <w:t xml:space="preserve"> highly structured intervention programme</w:t>
      </w:r>
      <w:r w:rsidR="007241EC">
        <w:rPr>
          <w:rFonts w:ascii="Arial" w:hAnsi="Arial" w:cs="Arial"/>
          <w:sz w:val="24"/>
          <w:szCs w:val="24"/>
        </w:rPr>
        <w:t>s</w:t>
      </w:r>
      <w:r w:rsidR="009A5412">
        <w:rPr>
          <w:rFonts w:ascii="Arial" w:hAnsi="Arial" w:cs="Arial"/>
          <w:sz w:val="24"/>
          <w:szCs w:val="24"/>
        </w:rPr>
        <w:t>.</w:t>
      </w:r>
    </w:p>
    <w:p w:rsidR="005620D7" w:rsidRDefault="00F008A0" w:rsidP="005620D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620D7" w:rsidRDefault="005620D7" w:rsidP="005620D7">
      <w:pPr>
        <w:rPr>
          <w:rFonts w:ascii="Arial" w:hAnsi="Arial" w:cs="Arial"/>
          <w:sz w:val="24"/>
          <w:szCs w:val="24"/>
        </w:rPr>
      </w:pPr>
      <w:r>
        <w:rPr>
          <w:rFonts w:ascii="Arial" w:hAnsi="Arial" w:cs="Arial"/>
          <w:sz w:val="24"/>
          <w:szCs w:val="24"/>
        </w:rPr>
        <w:t>Employment of additional teaching assistants</w:t>
      </w:r>
      <w:r w:rsidR="00A0369B">
        <w:rPr>
          <w:rFonts w:ascii="Arial" w:hAnsi="Arial" w:cs="Arial"/>
          <w:sz w:val="24"/>
          <w:szCs w:val="24"/>
        </w:rPr>
        <w:t xml:space="preserve"> to deliver phonics</w:t>
      </w:r>
      <w:r w:rsidR="00A0369B">
        <w:rPr>
          <w:rFonts w:ascii="Arial" w:hAnsi="Arial" w:cs="Arial"/>
          <w:sz w:val="24"/>
          <w:szCs w:val="24"/>
        </w:rPr>
        <w:tab/>
      </w:r>
      <w:r w:rsidR="00A0369B">
        <w:rPr>
          <w:rFonts w:ascii="Arial" w:hAnsi="Arial" w:cs="Arial"/>
          <w:sz w:val="24"/>
          <w:szCs w:val="24"/>
        </w:rPr>
        <w:tab/>
      </w:r>
      <w:r w:rsidR="009A5412">
        <w:rPr>
          <w:rFonts w:ascii="Arial" w:hAnsi="Arial" w:cs="Arial"/>
          <w:sz w:val="24"/>
          <w:szCs w:val="24"/>
        </w:rPr>
        <w:t>£25,434</w:t>
      </w:r>
    </w:p>
    <w:p w:rsidR="005620D7" w:rsidRDefault="00E671E3" w:rsidP="005620D7">
      <w:pPr>
        <w:rPr>
          <w:rFonts w:ascii="Arial" w:hAnsi="Arial" w:cs="Arial"/>
          <w:sz w:val="24"/>
          <w:szCs w:val="24"/>
        </w:rPr>
      </w:pPr>
      <w:r>
        <w:rPr>
          <w:rFonts w:ascii="Arial" w:hAnsi="Arial" w:cs="Arial"/>
          <w:sz w:val="24"/>
          <w:szCs w:val="24"/>
        </w:rPr>
        <w:t>Small group extra-curricular</w:t>
      </w:r>
      <w:r w:rsidR="005620D7">
        <w:rPr>
          <w:rFonts w:ascii="Arial" w:hAnsi="Arial" w:cs="Arial"/>
          <w:sz w:val="24"/>
          <w:szCs w:val="24"/>
        </w:rPr>
        <w:t xml:space="preserve"> tuition</w:t>
      </w:r>
      <w:r>
        <w:rPr>
          <w:rFonts w:ascii="Arial" w:hAnsi="Arial" w:cs="Arial"/>
          <w:sz w:val="24"/>
          <w:szCs w:val="24"/>
        </w:rPr>
        <w:t xml:space="preserve"> (gifted and talented maths)</w:t>
      </w:r>
      <w:r>
        <w:rPr>
          <w:rFonts w:ascii="Arial" w:hAnsi="Arial" w:cs="Arial"/>
          <w:sz w:val="24"/>
          <w:szCs w:val="24"/>
        </w:rPr>
        <w:tab/>
      </w:r>
      <w:r>
        <w:rPr>
          <w:rFonts w:ascii="Arial" w:hAnsi="Arial" w:cs="Arial"/>
          <w:sz w:val="24"/>
          <w:szCs w:val="24"/>
        </w:rPr>
        <w:tab/>
        <w:t>£1,0</w:t>
      </w:r>
      <w:r w:rsidR="00F008A0">
        <w:rPr>
          <w:rFonts w:ascii="Arial" w:hAnsi="Arial" w:cs="Arial"/>
          <w:sz w:val="24"/>
          <w:szCs w:val="24"/>
        </w:rPr>
        <w:t>00</w:t>
      </w:r>
    </w:p>
    <w:p w:rsidR="009A5412" w:rsidRDefault="009A5412" w:rsidP="005620D7">
      <w:pPr>
        <w:rPr>
          <w:rFonts w:ascii="Arial" w:hAnsi="Arial" w:cs="Arial"/>
          <w:sz w:val="24"/>
          <w:szCs w:val="24"/>
        </w:rPr>
      </w:pPr>
      <w:r>
        <w:rPr>
          <w:rFonts w:ascii="Arial" w:hAnsi="Arial" w:cs="Arial"/>
          <w:sz w:val="24"/>
          <w:szCs w:val="24"/>
        </w:rPr>
        <w:t>Resources for gifted and talented pupils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w:t>
      </w:r>
    </w:p>
    <w:p w:rsidR="00E671E3" w:rsidRDefault="00E671E3" w:rsidP="005620D7">
      <w:pPr>
        <w:rPr>
          <w:rFonts w:ascii="Arial" w:hAnsi="Arial" w:cs="Arial"/>
          <w:sz w:val="24"/>
          <w:szCs w:val="24"/>
        </w:rPr>
      </w:pPr>
      <w:r>
        <w:rPr>
          <w:rFonts w:ascii="Arial" w:hAnsi="Arial" w:cs="Arial"/>
          <w:sz w:val="24"/>
          <w:szCs w:val="24"/>
        </w:rPr>
        <w:t>1:1 tuition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414FC2" w:rsidRDefault="00414FC2" w:rsidP="005620D7">
      <w:pPr>
        <w:rPr>
          <w:rFonts w:ascii="Arial" w:hAnsi="Arial" w:cs="Arial"/>
          <w:sz w:val="24"/>
          <w:szCs w:val="24"/>
        </w:rPr>
      </w:pPr>
      <w:r>
        <w:rPr>
          <w:rFonts w:ascii="Arial" w:hAnsi="Arial" w:cs="Arial"/>
          <w:sz w:val="24"/>
          <w:szCs w:val="24"/>
        </w:rPr>
        <w:t>Numbers count training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£360</w:t>
      </w:r>
    </w:p>
    <w:p w:rsidR="00414FC2" w:rsidRDefault="00414FC2" w:rsidP="005620D7">
      <w:pPr>
        <w:rPr>
          <w:rFonts w:ascii="Arial" w:hAnsi="Arial" w:cs="Arial"/>
          <w:sz w:val="24"/>
          <w:szCs w:val="24"/>
        </w:rPr>
      </w:pPr>
      <w:r>
        <w:rPr>
          <w:rFonts w:ascii="Arial" w:hAnsi="Arial" w:cs="Arial"/>
          <w:sz w:val="24"/>
          <w:szCs w:val="24"/>
        </w:rPr>
        <w:t>Numbers count delivery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£1,500</w:t>
      </w:r>
    </w:p>
    <w:p w:rsidR="005620D7" w:rsidRDefault="005620D7" w:rsidP="005620D7">
      <w:pPr>
        <w:rPr>
          <w:rFonts w:ascii="Arial" w:hAnsi="Arial" w:cs="Arial"/>
          <w:sz w:val="24"/>
          <w:szCs w:val="24"/>
        </w:rPr>
      </w:pPr>
      <w:r>
        <w:rPr>
          <w:rFonts w:ascii="Arial" w:hAnsi="Arial" w:cs="Arial"/>
          <w:sz w:val="24"/>
          <w:szCs w:val="24"/>
        </w:rPr>
        <w:t>Extra-curricular sport</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t xml:space="preserve"> £200</w:t>
      </w:r>
    </w:p>
    <w:p w:rsidR="005620D7" w:rsidRDefault="005620D7" w:rsidP="005620D7">
      <w:pPr>
        <w:rPr>
          <w:rFonts w:ascii="Arial" w:hAnsi="Arial" w:cs="Arial"/>
          <w:sz w:val="24"/>
          <w:szCs w:val="24"/>
        </w:rPr>
      </w:pPr>
      <w:r>
        <w:rPr>
          <w:rFonts w:ascii="Arial" w:hAnsi="Arial" w:cs="Arial"/>
          <w:sz w:val="24"/>
          <w:szCs w:val="24"/>
        </w:rPr>
        <w:t>Extra-curricular music</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t xml:space="preserve"> £200</w:t>
      </w:r>
    </w:p>
    <w:p w:rsidR="00F008A0" w:rsidRDefault="00F008A0" w:rsidP="005620D7">
      <w:pPr>
        <w:rPr>
          <w:rFonts w:ascii="Arial" w:hAnsi="Arial" w:cs="Arial"/>
          <w:sz w:val="24"/>
          <w:szCs w:val="24"/>
        </w:rPr>
      </w:pPr>
      <w:r>
        <w:rPr>
          <w:rFonts w:ascii="Arial" w:hAnsi="Arial" w:cs="Arial"/>
          <w:sz w:val="24"/>
          <w:szCs w:val="24"/>
        </w:rPr>
        <w:t>Residential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w:t>
      </w:r>
    </w:p>
    <w:p w:rsidR="00F008A0" w:rsidRDefault="00E671E3" w:rsidP="005620D7">
      <w:pPr>
        <w:rPr>
          <w:rFonts w:ascii="Arial" w:hAnsi="Arial" w:cs="Arial"/>
          <w:sz w:val="24"/>
          <w:szCs w:val="24"/>
        </w:rPr>
      </w:pPr>
      <w:r>
        <w:rPr>
          <w:rFonts w:ascii="Arial" w:hAnsi="Arial" w:cs="Arial"/>
          <w:sz w:val="24"/>
          <w:szCs w:val="24"/>
        </w:rPr>
        <w:t>Subsidies for school trips</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Pr>
          <w:rFonts w:ascii="Arial" w:hAnsi="Arial" w:cs="Arial"/>
          <w:sz w:val="24"/>
          <w:szCs w:val="24"/>
        </w:rPr>
        <w:tab/>
      </w:r>
      <w:r w:rsidR="00F008A0">
        <w:rPr>
          <w:rFonts w:ascii="Arial" w:hAnsi="Arial" w:cs="Arial"/>
          <w:sz w:val="24"/>
          <w:szCs w:val="24"/>
        </w:rPr>
        <w:t>£1</w:t>
      </w:r>
      <w:r>
        <w:rPr>
          <w:rFonts w:ascii="Arial" w:hAnsi="Arial" w:cs="Arial"/>
          <w:sz w:val="24"/>
          <w:szCs w:val="24"/>
        </w:rPr>
        <w:t>,</w:t>
      </w:r>
      <w:r w:rsidR="00F008A0">
        <w:rPr>
          <w:rFonts w:ascii="Arial" w:hAnsi="Arial" w:cs="Arial"/>
          <w:sz w:val="24"/>
          <w:szCs w:val="24"/>
        </w:rPr>
        <w:t>00</w:t>
      </w:r>
      <w:r>
        <w:rPr>
          <w:rFonts w:ascii="Arial" w:hAnsi="Arial" w:cs="Arial"/>
          <w:sz w:val="24"/>
          <w:szCs w:val="24"/>
        </w:rPr>
        <w:t>0</w:t>
      </w:r>
    </w:p>
    <w:p w:rsidR="00A0369B" w:rsidRDefault="00A0369B" w:rsidP="005620D7">
      <w:pPr>
        <w:rPr>
          <w:rFonts w:ascii="Arial" w:hAnsi="Arial" w:cs="Arial"/>
          <w:sz w:val="24"/>
          <w:szCs w:val="24"/>
        </w:rPr>
      </w:pPr>
      <w:r>
        <w:rPr>
          <w:rFonts w:ascii="Arial" w:hAnsi="Arial" w:cs="Arial"/>
          <w:sz w:val="24"/>
          <w:szCs w:val="24"/>
        </w:rPr>
        <w:t>Behaviour Support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£350</w:t>
      </w:r>
    </w:p>
    <w:p w:rsidR="005620D7" w:rsidRDefault="009A5412" w:rsidP="005620D7">
      <w:pPr>
        <w:rPr>
          <w:rFonts w:ascii="Arial" w:hAnsi="Arial" w:cs="Arial"/>
          <w:sz w:val="24"/>
          <w:szCs w:val="24"/>
        </w:rPr>
      </w:pPr>
      <w:r>
        <w:rPr>
          <w:rFonts w:ascii="Arial" w:hAnsi="Arial" w:cs="Arial"/>
          <w:sz w:val="24"/>
          <w:szCs w:val="24"/>
        </w:rPr>
        <w:t>Total spend</w:t>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Pr>
          <w:rFonts w:ascii="Arial" w:hAnsi="Arial" w:cs="Arial"/>
          <w:sz w:val="24"/>
          <w:szCs w:val="24"/>
        </w:rPr>
        <w:t>£31,444</w:t>
      </w:r>
    </w:p>
    <w:p w:rsidR="005620D7" w:rsidRDefault="005620D7" w:rsidP="005620D7">
      <w:pPr>
        <w:rPr>
          <w:rFonts w:ascii="Arial" w:hAnsi="Arial" w:cs="Arial"/>
          <w:b/>
          <w:sz w:val="24"/>
          <w:szCs w:val="24"/>
        </w:rPr>
      </w:pPr>
      <w:r w:rsidRPr="005620D7">
        <w:rPr>
          <w:rFonts w:ascii="Arial" w:hAnsi="Arial" w:cs="Arial"/>
          <w:b/>
          <w:sz w:val="24"/>
          <w:szCs w:val="24"/>
        </w:rPr>
        <w:t>Impact</w:t>
      </w:r>
    </w:p>
    <w:p w:rsidR="005620D7" w:rsidRDefault="005620D7" w:rsidP="005620D7">
      <w:pPr>
        <w:rPr>
          <w:rFonts w:ascii="Arial" w:hAnsi="Arial" w:cs="Arial"/>
          <w:sz w:val="24"/>
          <w:szCs w:val="24"/>
        </w:rPr>
      </w:pPr>
      <w:r>
        <w:rPr>
          <w:rFonts w:ascii="Arial" w:hAnsi="Arial" w:cs="Arial"/>
          <w:sz w:val="24"/>
          <w:szCs w:val="24"/>
        </w:rPr>
        <w:t xml:space="preserve">Whilst it is difficult to quantify the impact of </w:t>
      </w:r>
      <w:r w:rsidR="00011B3B">
        <w:rPr>
          <w:rFonts w:ascii="Arial" w:hAnsi="Arial" w:cs="Arial"/>
          <w:sz w:val="24"/>
          <w:szCs w:val="24"/>
        </w:rPr>
        <w:t>funding music lessons for a child or enabling them to attend a sports club or residential trip we are certain that this has a significant positive impact on the lives of children and are committed to ensuring that no child will miss out on these opportunities because of an inability to pay.</w:t>
      </w:r>
    </w:p>
    <w:p w:rsidR="00552CD8" w:rsidRDefault="00552CD8" w:rsidP="005620D7">
      <w:pPr>
        <w:rPr>
          <w:rFonts w:ascii="Arial" w:hAnsi="Arial" w:cs="Arial"/>
          <w:sz w:val="24"/>
          <w:szCs w:val="24"/>
        </w:rPr>
      </w:pPr>
      <w:r>
        <w:rPr>
          <w:rFonts w:ascii="Arial" w:hAnsi="Arial" w:cs="Arial"/>
          <w:sz w:val="24"/>
          <w:szCs w:val="24"/>
        </w:rPr>
        <w:t>Surveys indicate that additional teaching assistant support has little impact unless the assistants are well trained and work with tightly focussed intervention groups, which is the model that we are using.</w:t>
      </w:r>
    </w:p>
    <w:p w:rsidR="00552CD8" w:rsidRDefault="00552CD8" w:rsidP="005620D7">
      <w:pPr>
        <w:rPr>
          <w:rFonts w:ascii="Arial" w:hAnsi="Arial" w:cs="Arial"/>
          <w:sz w:val="24"/>
          <w:szCs w:val="24"/>
        </w:rPr>
      </w:pPr>
      <w:r>
        <w:rPr>
          <w:rFonts w:ascii="Arial" w:hAnsi="Arial" w:cs="Arial"/>
          <w:sz w:val="24"/>
          <w:szCs w:val="24"/>
        </w:rPr>
        <w:lastRenderedPageBreak/>
        <w:t xml:space="preserve">Evidence has also shown (Sutton Trust) that there are several strategies that are highly effective in raising pupil attainment which we focus on as a school but will not appear here due to their limited </w:t>
      </w:r>
      <w:proofErr w:type="gramStart"/>
      <w:r>
        <w:rPr>
          <w:rFonts w:ascii="Arial" w:hAnsi="Arial" w:cs="Arial"/>
          <w:sz w:val="24"/>
          <w:szCs w:val="24"/>
        </w:rPr>
        <w:t>cost,</w:t>
      </w:r>
      <w:proofErr w:type="gramEnd"/>
      <w:r>
        <w:rPr>
          <w:rFonts w:ascii="Arial" w:hAnsi="Arial" w:cs="Arial"/>
          <w:sz w:val="24"/>
          <w:szCs w:val="24"/>
        </w:rPr>
        <w:t xml:space="preserve"> these are more aspects of school culture</w:t>
      </w:r>
      <w:r w:rsidR="00D02B7A">
        <w:rPr>
          <w:rFonts w:ascii="Arial" w:hAnsi="Arial" w:cs="Arial"/>
          <w:sz w:val="24"/>
          <w:szCs w:val="24"/>
        </w:rPr>
        <w:t>.</w:t>
      </w:r>
      <w:r>
        <w:rPr>
          <w:rFonts w:ascii="Arial" w:hAnsi="Arial" w:cs="Arial"/>
          <w:sz w:val="24"/>
          <w:szCs w:val="24"/>
        </w:rPr>
        <w:t xml:space="preserve">  </w:t>
      </w:r>
    </w:p>
    <w:p w:rsidR="005620D7" w:rsidRDefault="00622D5B" w:rsidP="005620D7">
      <w:pPr>
        <w:rPr>
          <w:rFonts w:ascii="Arial" w:hAnsi="Arial" w:cs="Arial"/>
          <w:sz w:val="24"/>
          <w:szCs w:val="24"/>
        </w:rPr>
      </w:pPr>
      <w:r>
        <w:rPr>
          <w:rFonts w:ascii="Arial" w:hAnsi="Arial" w:cs="Arial"/>
          <w:sz w:val="24"/>
          <w:szCs w:val="24"/>
        </w:rPr>
        <w:t>Nationally children in receipt of free school meals (FSM) perform less well than those who do not. School r</w:t>
      </w:r>
      <w:r w:rsidR="00914738" w:rsidRPr="00914738">
        <w:rPr>
          <w:rFonts w:ascii="Arial" w:hAnsi="Arial" w:cs="Arial"/>
          <w:sz w:val="24"/>
          <w:szCs w:val="24"/>
        </w:rPr>
        <w:t xml:space="preserve">esults at KS1 </w:t>
      </w:r>
      <w:r w:rsidR="00914738">
        <w:rPr>
          <w:rFonts w:ascii="Arial" w:hAnsi="Arial" w:cs="Arial"/>
          <w:sz w:val="24"/>
          <w:szCs w:val="24"/>
        </w:rPr>
        <w:t>indicate that Pupils in r</w:t>
      </w:r>
      <w:r>
        <w:rPr>
          <w:rFonts w:ascii="Arial" w:hAnsi="Arial" w:cs="Arial"/>
          <w:sz w:val="24"/>
          <w:szCs w:val="24"/>
        </w:rPr>
        <w:t>eceipt of free school meals had</w:t>
      </w:r>
      <w:r w:rsidR="00914738">
        <w:rPr>
          <w:rFonts w:ascii="Arial" w:hAnsi="Arial" w:cs="Arial"/>
          <w:sz w:val="24"/>
          <w:szCs w:val="24"/>
        </w:rPr>
        <w:t xml:space="preserve"> a lower average point score in reading, writing</w:t>
      </w:r>
      <w:r w:rsidR="00FD167F">
        <w:rPr>
          <w:rFonts w:ascii="Arial" w:hAnsi="Arial" w:cs="Arial"/>
          <w:sz w:val="24"/>
          <w:szCs w:val="24"/>
        </w:rPr>
        <w:t xml:space="preserve"> and maths than </w:t>
      </w:r>
      <w:proofErr w:type="gramStart"/>
      <w:r w:rsidR="00FD167F">
        <w:rPr>
          <w:rFonts w:ascii="Arial" w:hAnsi="Arial" w:cs="Arial"/>
          <w:sz w:val="24"/>
          <w:szCs w:val="24"/>
        </w:rPr>
        <w:t>those not in receipt</w:t>
      </w:r>
      <w:proofErr w:type="gramEnd"/>
      <w:r w:rsidR="00FD167F">
        <w:rPr>
          <w:rFonts w:ascii="Arial" w:hAnsi="Arial" w:cs="Arial"/>
          <w:sz w:val="24"/>
          <w:szCs w:val="24"/>
        </w:rPr>
        <w:t xml:space="preserve"> of free school meals, they also scored less well in the phonics screening test.</w:t>
      </w:r>
    </w:p>
    <w:p w:rsidR="00E23336" w:rsidRPr="00E23336" w:rsidRDefault="00E23336" w:rsidP="005620D7">
      <w:pPr>
        <w:rPr>
          <w:rFonts w:ascii="Arial" w:hAnsi="Arial" w:cs="Arial"/>
          <w:b/>
          <w:sz w:val="24"/>
          <w:szCs w:val="24"/>
        </w:rPr>
      </w:pPr>
      <w:r w:rsidRPr="00E23336">
        <w:rPr>
          <w:rFonts w:ascii="Arial" w:hAnsi="Arial" w:cs="Arial"/>
          <w:b/>
          <w:sz w:val="24"/>
          <w:szCs w:val="24"/>
        </w:rPr>
        <w:t>Percentage of pupils achieving or surpassing level 4 in tests</w:t>
      </w:r>
    </w:p>
    <w:tbl>
      <w:tblPr>
        <w:tblStyle w:val="TableGrid"/>
        <w:tblW w:w="0" w:type="auto"/>
        <w:tblLook w:val="04A0" w:firstRow="1" w:lastRow="0" w:firstColumn="1" w:lastColumn="0" w:noHBand="0" w:noVBand="1"/>
      </w:tblPr>
      <w:tblGrid>
        <w:gridCol w:w="978"/>
        <w:gridCol w:w="1009"/>
        <w:gridCol w:w="1057"/>
        <w:gridCol w:w="1009"/>
        <w:gridCol w:w="1057"/>
        <w:gridCol w:w="1009"/>
        <w:gridCol w:w="1057"/>
        <w:gridCol w:w="1009"/>
        <w:gridCol w:w="1057"/>
      </w:tblGrid>
      <w:tr w:rsidR="00622D5B" w:rsidTr="00CE23B2">
        <w:tc>
          <w:tcPr>
            <w:tcW w:w="1026" w:type="dxa"/>
          </w:tcPr>
          <w:p w:rsidR="00622D5B" w:rsidRDefault="00622D5B" w:rsidP="005620D7">
            <w:pPr>
              <w:rPr>
                <w:rFonts w:ascii="Arial" w:hAnsi="Arial" w:cs="Arial"/>
                <w:sz w:val="24"/>
                <w:szCs w:val="24"/>
              </w:rPr>
            </w:pPr>
          </w:p>
        </w:tc>
        <w:tc>
          <w:tcPr>
            <w:tcW w:w="2054" w:type="dxa"/>
            <w:gridSpan w:val="2"/>
          </w:tcPr>
          <w:p w:rsidR="00622D5B" w:rsidRDefault="00E23336" w:rsidP="005620D7">
            <w:pPr>
              <w:rPr>
                <w:rFonts w:ascii="Arial" w:hAnsi="Arial" w:cs="Arial"/>
                <w:sz w:val="24"/>
                <w:szCs w:val="24"/>
              </w:rPr>
            </w:pPr>
            <w:r>
              <w:rPr>
                <w:rFonts w:ascii="Arial" w:hAnsi="Arial" w:cs="Arial"/>
                <w:sz w:val="24"/>
                <w:szCs w:val="24"/>
              </w:rPr>
              <w:t>Mathematics</w:t>
            </w:r>
          </w:p>
        </w:tc>
        <w:tc>
          <w:tcPr>
            <w:tcW w:w="2054" w:type="dxa"/>
            <w:gridSpan w:val="2"/>
          </w:tcPr>
          <w:p w:rsidR="00622D5B" w:rsidRDefault="00E23336" w:rsidP="005620D7">
            <w:pPr>
              <w:rPr>
                <w:rFonts w:ascii="Arial" w:hAnsi="Arial" w:cs="Arial"/>
                <w:sz w:val="24"/>
                <w:szCs w:val="24"/>
              </w:rPr>
            </w:pPr>
            <w:r>
              <w:rPr>
                <w:rFonts w:ascii="Arial" w:hAnsi="Arial" w:cs="Arial"/>
                <w:sz w:val="24"/>
                <w:szCs w:val="24"/>
              </w:rPr>
              <w:t>Reading</w:t>
            </w:r>
          </w:p>
        </w:tc>
        <w:tc>
          <w:tcPr>
            <w:tcW w:w="2054" w:type="dxa"/>
            <w:gridSpan w:val="2"/>
          </w:tcPr>
          <w:p w:rsidR="00622D5B" w:rsidRDefault="00E23336" w:rsidP="005620D7">
            <w:pPr>
              <w:rPr>
                <w:rFonts w:ascii="Arial" w:hAnsi="Arial" w:cs="Arial"/>
                <w:sz w:val="24"/>
                <w:szCs w:val="24"/>
              </w:rPr>
            </w:pPr>
            <w:r>
              <w:rPr>
                <w:rFonts w:ascii="Arial" w:hAnsi="Arial" w:cs="Arial"/>
                <w:sz w:val="24"/>
                <w:szCs w:val="24"/>
              </w:rPr>
              <w:t>Writing</w:t>
            </w:r>
          </w:p>
        </w:tc>
        <w:tc>
          <w:tcPr>
            <w:tcW w:w="2054" w:type="dxa"/>
            <w:gridSpan w:val="2"/>
          </w:tcPr>
          <w:p w:rsidR="00622D5B" w:rsidRDefault="00E23336" w:rsidP="005620D7">
            <w:pPr>
              <w:rPr>
                <w:rFonts w:ascii="Arial" w:hAnsi="Arial" w:cs="Arial"/>
                <w:sz w:val="24"/>
                <w:szCs w:val="24"/>
              </w:rPr>
            </w:pPr>
            <w:r>
              <w:rPr>
                <w:rFonts w:ascii="Arial" w:hAnsi="Arial" w:cs="Arial"/>
                <w:sz w:val="24"/>
                <w:szCs w:val="24"/>
              </w:rPr>
              <w:t>English grammar, punctuation and spelling</w:t>
            </w:r>
          </w:p>
        </w:tc>
      </w:tr>
      <w:tr w:rsidR="00E23336" w:rsidTr="00622D5B">
        <w:tc>
          <w:tcPr>
            <w:tcW w:w="1026" w:type="dxa"/>
          </w:tcPr>
          <w:p w:rsidR="00E23336" w:rsidRDefault="00E23336" w:rsidP="005620D7">
            <w:pPr>
              <w:rPr>
                <w:rFonts w:ascii="Arial" w:hAnsi="Arial" w:cs="Arial"/>
                <w:sz w:val="24"/>
                <w:szCs w:val="24"/>
              </w:rPr>
            </w:pPr>
          </w:p>
        </w:tc>
        <w:tc>
          <w:tcPr>
            <w:tcW w:w="1027" w:type="dxa"/>
          </w:tcPr>
          <w:p w:rsidR="00E23336" w:rsidRDefault="00E23336" w:rsidP="005620D7">
            <w:pPr>
              <w:rPr>
                <w:rFonts w:ascii="Arial" w:hAnsi="Arial" w:cs="Arial"/>
                <w:sz w:val="24"/>
                <w:szCs w:val="24"/>
              </w:rPr>
            </w:pPr>
            <w:r>
              <w:rPr>
                <w:rFonts w:ascii="Arial" w:hAnsi="Arial" w:cs="Arial"/>
                <w:sz w:val="24"/>
                <w:szCs w:val="24"/>
              </w:rPr>
              <w:t>school</w:t>
            </w:r>
          </w:p>
        </w:tc>
        <w:tc>
          <w:tcPr>
            <w:tcW w:w="1027" w:type="dxa"/>
          </w:tcPr>
          <w:p w:rsidR="00E23336" w:rsidRDefault="00E23336" w:rsidP="005620D7">
            <w:pPr>
              <w:rPr>
                <w:rFonts w:ascii="Arial" w:hAnsi="Arial" w:cs="Arial"/>
                <w:sz w:val="24"/>
                <w:szCs w:val="24"/>
              </w:rPr>
            </w:pPr>
            <w:r>
              <w:rPr>
                <w:rFonts w:ascii="Arial" w:hAnsi="Arial" w:cs="Arial"/>
                <w:sz w:val="24"/>
                <w:szCs w:val="24"/>
              </w:rPr>
              <w:t>national</w:t>
            </w:r>
          </w:p>
          <w:p w:rsidR="00E23336" w:rsidRDefault="00E23336" w:rsidP="005620D7">
            <w:pPr>
              <w:rPr>
                <w:rFonts w:ascii="Arial" w:hAnsi="Arial" w:cs="Arial"/>
                <w:sz w:val="24"/>
                <w:szCs w:val="24"/>
              </w:rPr>
            </w:pPr>
          </w:p>
        </w:tc>
        <w:tc>
          <w:tcPr>
            <w:tcW w:w="1027" w:type="dxa"/>
          </w:tcPr>
          <w:p w:rsidR="00E23336" w:rsidRDefault="00E23336" w:rsidP="005620D7">
            <w:pPr>
              <w:rPr>
                <w:rFonts w:ascii="Arial" w:hAnsi="Arial" w:cs="Arial"/>
                <w:sz w:val="24"/>
                <w:szCs w:val="24"/>
              </w:rPr>
            </w:pPr>
            <w:r>
              <w:rPr>
                <w:rFonts w:ascii="Arial" w:hAnsi="Arial" w:cs="Arial"/>
                <w:sz w:val="24"/>
                <w:szCs w:val="24"/>
              </w:rPr>
              <w:t>school</w:t>
            </w:r>
          </w:p>
        </w:tc>
        <w:tc>
          <w:tcPr>
            <w:tcW w:w="1027" w:type="dxa"/>
          </w:tcPr>
          <w:p w:rsidR="00E23336" w:rsidRDefault="00E23336" w:rsidP="005620D7">
            <w:pPr>
              <w:rPr>
                <w:rFonts w:ascii="Arial" w:hAnsi="Arial" w:cs="Arial"/>
                <w:sz w:val="24"/>
                <w:szCs w:val="24"/>
              </w:rPr>
            </w:pPr>
            <w:r>
              <w:rPr>
                <w:rFonts w:ascii="Arial" w:hAnsi="Arial" w:cs="Arial"/>
                <w:sz w:val="24"/>
                <w:szCs w:val="24"/>
              </w:rPr>
              <w:t>national</w:t>
            </w:r>
          </w:p>
        </w:tc>
        <w:tc>
          <w:tcPr>
            <w:tcW w:w="1027" w:type="dxa"/>
          </w:tcPr>
          <w:p w:rsidR="00E23336" w:rsidRDefault="00E23336" w:rsidP="005620D7">
            <w:pPr>
              <w:rPr>
                <w:rFonts w:ascii="Arial" w:hAnsi="Arial" w:cs="Arial"/>
                <w:sz w:val="24"/>
                <w:szCs w:val="24"/>
              </w:rPr>
            </w:pPr>
            <w:r>
              <w:rPr>
                <w:rFonts w:ascii="Arial" w:hAnsi="Arial" w:cs="Arial"/>
                <w:sz w:val="24"/>
                <w:szCs w:val="24"/>
              </w:rPr>
              <w:t>school</w:t>
            </w:r>
          </w:p>
        </w:tc>
        <w:tc>
          <w:tcPr>
            <w:tcW w:w="1027" w:type="dxa"/>
          </w:tcPr>
          <w:p w:rsidR="00E23336" w:rsidRDefault="00E23336" w:rsidP="005620D7">
            <w:pPr>
              <w:rPr>
                <w:rFonts w:ascii="Arial" w:hAnsi="Arial" w:cs="Arial"/>
                <w:sz w:val="24"/>
                <w:szCs w:val="24"/>
              </w:rPr>
            </w:pPr>
            <w:r>
              <w:rPr>
                <w:rFonts w:ascii="Arial" w:hAnsi="Arial" w:cs="Arial"/>
                <w:sz w:val="24"/>
                <w:szCs w:val="24"/>
              </w:rPr>
              <w:t>national</w:t>
            </w:r>
          </w:p>
        </w:tc>
        <w:tc>
          <w:tcPr>
            <w:tcW w:w="1027" w:type="dxa"/>
          </w:tcPr>
          <w:p w:rsidR="00E23336" w:rsidRDefault="00E23336" w:rsidP="005620D7">
            <w:pPr>
              <w:rPr>
                <w:rFonts w:ascii="Arial" w:hAnsi="Arial" w:cs="Arial"/>
                <w:sz w:val="24"/>
                <w:szCs w:val="24"/>
              </w:rPr>
            </w:pPr>
            <w:r>
              <w:rPr>
                <w:rFonts w:ascii="Arial" w:hAnsi="Arial" w:cs="Arial"/>
                <w:sz w:val="24"/>
                <w:szCs w:val="24"/>
              </w:rPr>
              <w:t>school</w:t>
            </w:r>
          </w:p>
        </w:tc>
        <w:tc>
          <w:tcPr>
            <w:tcW w:w="1027" w:type="dxa"/>
          </w:tcPr>
          <w:p w:rsidR="00E23336" w:rsidRDefault="00E23336" w:rsidP="005620D7">
            <w:pPr>
              <w:rPr>
                <w:rFonts w:ascii="Arial" w:hAnsi="Arial" w:cs="Arial"/>
                <w:sz w:val="24"/>
                <w:szCs w:val="24"/>
              </w:rPr>
            </w:pPr>
            <w:r>
              <w:rPr>
                <w:rFonts w:ascii="Arial" w:hAnsi="Arial" w:cs="Arial"/>
                <w:sz w:val="24"/>
                <w:szCs w:val="24"/>
              </w:rPr>
              <w:t>national</w:t>
            </w:r>
          </w:p>
        </w:tc>
      </w:tr>
      <w:tr w:rsidR="00E23336" w:rsidTr="00622D5B">
        <w:tc>
          <w:tcPr>
            <w:tcW w:w="1026" w:type="dxa"/>
          </w:tcPr>
          <w:p w:rsidR="00622D5B" w:rsidRDefault="00622D5B" w:rsidP="005620D7">
            <w:pPr>
              <w:rPr>
                <w:rFonts w:ascii="Arial" w:hAnsi="Arial" w:cs="Arial"/>
                <w:sz w:val="24"/>
                <w:szCs w:val="24"/>
              </w:rPr>
            </w:pPr>
            <w:r>
              <w:rPr>
                <w:rFonts w:ascii="Arial" w:hAnsi="Arial" w:cs="Arial"/>
                <w:sz w:val="24"/>
                <w:szCs w:val="24"/>
              </w:rPr>
              <w:t>FSM</w:t>
            </w:r>
          </w:p>
          <w:p w:rsidR="00622D5B" w:rsidRDefault="00622D5B" w:rsidP="005620D7">
            <w:pPr>
              <w:rPr>
                <w:rFonts w:ascii="Arial" w:hAnsi="Arial" w:cs="Arial"/>
                <w:sz w:val="24"/>
                <w:szCs w:val="24"/>
              </w:rPr>
            </w:pPr>
          </w:p>
        </w:tc>
        <w:tc>
          <w:tcPr>
            <w:tcW w:w="1027" w:type="dxa"/>
          </w:tcPr>
          <w:p w:rsidR="00622D5B" w:rsidRDefault="00E23336" w:rsidP="005620D7">
            <w:pPr>
              <w:rPr>
                <w:rFonts w:ascii="Arial" w:hAnsi="Arial" w:cs="Arial"/>
                <w:sz w:val="24"/>
                <w:szCs w:val="24"/>
              </w:rPr>
            </w:pPr>
            <w:r>
              <w:rPr>
                <w:rFonts w:ascii="Arial" w:hAnsi="Arial" w:cs="Arial"/>
                <w:sz w:val="24"/>
                <w:szCs w:val="24"/>
              </w:rPr>
              <w:t>100%</w:t>
            </w:r>
          </w:p>
        </w:tc>
        <w:tc>
          <w:tcPr>
            <w:tcW w:w="1027" w:type="dxa"/>
          </w:tcPr>
          <w:p w:rsidR="00622D5B" w:rsidRDefault="00E23336" w:rsidP="005620D7">
            <w:pPr>
              <w:rPr>
                <w:rFonts w:ascii="Arial" w:hAnsi="Arial" w:cs="Arial"/>
                <w:sz w:val="24"/>
                <w:szCs w:val="24"/>
              </w:rPr>
            </w:pPr>
            <w:r>
              <w:rPr>
                <w:rFonts w:ascii="Arial" w:hAnsi="Arial" w:cs="Arial"/>
                <w:sz w:val="24"/>
                <w:szCs w:val="24"/>
              </w:rPr>
              <w:t>80%</w:t>
            </w:r>
          </w:p>
        </w:tc>
        <w:tc>
          <w:tcPr>
            <w:tcW w:w="1027" w:type="dxa"/>
          </w:tcPr>
          <w:p w:rsidR="00622D5B" w:rsidRDefault="00E23336" w:rsidP="005620D7">
            <w:pPr>
              <w:rPr>
                <w:rFonts w:ascii="Arial" w:hAnsi="Arial" w:cs="Arial"/>
                <w:sz w:val="24"/>
                <w:szCs w:val="24"/>
              </w:rPr>
            </w:pPr>
            <w:r>
              <w:rPr>
                <w:rFonts w:ascii="Arial" w:hAnsi="Arial" w:cs="Arial"/>
                <w:sz w:val="24"/>
                <w:szCs w:val="24"/>
              </w:rPr>
              <w:t>88%</w:t>
            </w:r>
          </w:p>
        </w:tc>
        <w:tc>
          <w:tcPr>
            <w:tcW w:w="1027" w:type="dxa"/>
          </w:tcPr>
          <w:p w:rsidR="00622D5B" w:rsidRDefault="00E23336" w:rsidP="005620D7">
            <w:pPr>
              <w:rPr>
                <w:rFonts w:ascii="Arial" w:hAnsi="Arial" w:cs="Arial"/>
                <w:sz w:val="24"/>
                <w:szCs w:val="24"/>
              </w:rPr>
            </w:pPr>
            <w:r>
              <w:rPr>
                <w:rFonts w:ascii="Arial" w:hAnsi="Arial" w:cs="Arial"/>
                <w:sz w:val="24"/>
                <w:szCs w:val="24"/>
              </w:rPr>
              <w:t>83%</w:t>
            </w:r>
          </w:p>
        </w:tc>
        <w:tc>
          <w:tcPr>
            <w:tcW w:w="1027" w:type="dxa"/>
          </w:tcPr>
          <w:p w:rsidR="00622D5B" w:rsidRDefault="00E23336" w:rsidP="005620D7">
            <w:pPr>
              <w:rPr>
                <w:rFonts w:ascii="Arial" w:hAnsi="Arial" w:cs="Arial"/>
                <w:sz w:val="24"/>
                <w:szCs w:val="24"/>
              </w:rPr>
            </w:pPr>
            <w:r>
              <w:rPr>
                <w:rFonts w:ascii="Arial" w:hAnsi="Arial" w:cs="Arial"/>
                <w:sz w:val="24"/>
                <w:szCs w:val="24"/>
              </w:rPr>
              <w:t>88%</w:t>
            </w:r>
          </w:p>
        </w:tc>
        <w:tc>
          <w:tcPr>
            <w:tcW w:w="1027" w:type="dxa"/>
          </w:tcPr>
          <w:p w:rsidR="00622D5B" w:rsidRDefault="00E23336" w:rsidP="005620D7">
            <w:pPr>
              <w:rPr>
                <w:rFonts w:ascii="Arial" w:hAnsi="Arial" w:cs="Arial"/>
                <w:sz w:val="24"/>
                <w:szCs w:val="24"/>
              </w:rPr>
            </w:pPr>
            <w:r>
              <w:rPr>
                <w:rFonts w:ascii="Arial" w:hAnsi="Arial" w:cs="Arial"/>
                <w:sz w:val="24"/>
                <w:szCs w:val="24"/>
              </w:rPr>
              <w:t>79%</w:t>
            </w:r>
          </w:p>
        </w:tc>
        <w:tc>
          <w:tcPr>
            <w:tcW w:w="1027" w:type="dxa"/>
          </w:tcPr>
          <w:p w:rsidR="00622D5B" w:rsidRDefault="00E23336" w:rsidP="005620D7">
            <w:pPr>
              <w:rPr>
                <w:rFonts w:ascii="Arial" w:hAnsi="Arial" w:cs="Arial"/>
                <w:sz w:val="24"/>
                <w:szCs w:val="24"/>
              </w:rPr>
            </w:pPr>
            <w:r>
              <w:rPr>
                <w:rFonts w:ascii="Arial" w:hAnsi="Arial" w:cs="Arial"/>
                <w:sz w:val="24"/>
                <w:szCs w:val="24"/>
              </w:rPr>
              <w:t>50%</w:t>
            </w:r>
          </w:p>
        </w:tc>
        <w:tc>
          <w:tcPr>
            <w:tcW w:w="1027" w:type="dxa"/>
          </w:tcPr>
          <w:p w:rsidR="00622D5B" w:rsidRDefault="00E23336" w:rsidP="005620D7">
            <w:pPr>
              <w:rPr>
                <w:rFonts w:ascii="Arial" w:hAnsi="Arial" w:cs="Arial"/>
                <w:sz w:val="24"/>
                <w:szCs w:val="24"/>
              </w:rPr>
            </w:pPr>
            <w:r>
              <w:rPr>
                <w:rFonts w:ascii="Arial" w:hAnsi="Arial" w:cs="Arial"/>
                <w:sz w:val="24"/>
                <w:szCs w:val="24"/>
              </w:rPr>
              <w:t>71%</w:t>
            </w:r>
          </w:p>
        </w:tc>
      </w:tr>
      <w:tr w:rsidR="00E23336" w:rsidTr="00622D5B">
        <w:tc>
          <w:tcPr>
            <w:tcW w:w="1026" w:type="dxa"/>
          </w:tcPr>
          <w:p w:rsidR="00622D5B" w:rsidRDefault="00622D5B" w:rsidP="005620D7">
            <w:pPr>
              <w:rPr>
                <w:rFonts w:ascii="Arial" w:hAnsi="Arial" w:cs="Arial"/>
                <w:sz w:val="24"/>
                <w:szCs w:val="24"/>
              </w:rPr>
            </w:pPr>
            <w:r>
              <w:rPr>
                <w:rFonts w:ascii="Arial" w:hAnsi="Arial" w:cs="Arial"/>
                <w:sz w:val="24"/>
                <w:szCs w:val="24"/>
              </w:rPr>
              <w:t>Non FSM</w:t>
            </w:r>
          </w:p>
        </w:tc>
        <w:tc>
          <w:tcPr>
            <w:tcW w:w="1027" w:type="dxa"/>
          </w:tcPr>
          <w:p w:rsidR="00622D5B" w:rsidRDefault="00E23336" w:rsidP="005620D7">
            <w:pPr>
              <w:rPr>
                <w:rFonts w:ascii="Arial" w:hAnsi="Arial" w:cs="Arial"/>
                <w:sz w:val="24"/>
                <w:szCs w:val="24"/>
              </w:rPr>
            </w:pPr>
            <w:r>
              <w:rPr>
                <w:rFonts w:ascii="Arial" w:hAnsi="Arial" w:cs="Arial"/>
                <w:sz w:val="24"/>
                <w:szCs w:val="24"/>
              </w:rPr>
              <w:t>100%</w:t>
            </w:r>
          </w:p>
        </w:tc>
        <w:tc>
          <w:tcPr>
            <w:tcW w:w="1027" w:type="dxa"/>
          </w:tcPr>
          <w:p w:rsidR="00622D5B" w:rsidRDefault="00E23336" w:rsidP="005620D7">
            <w:pPr>
              <w:rPr>
                <w:rFonts w:ascii="Arial" w:hAnsi="Arial" w:cs="Arial"/>
                <w:sz w:val="24"/>
                <w:szCs w:val="24"/>
              </w:rPr>
            </w:pPr>
            <w:r>
              <w:rPr>
                <w:rFonts w:ascii="Arial" w:hAnsi="Arial" w:cs="Arial"/>
                <w:sz w:val="24"/>
                <w:szCs w:val="24"/>
              </w:rPr>
              <w:t>90%</w:t>
            </w:r>
          </w:p>
        </w:tc>
        <w:tc>
          <w:tcPr>
            <w:tcW w:w="1027" w:type="dxa"/>
          </w:tcPr>
          <w:p w:rsidR="00622D5B" w:rsidRDefault="00E23336" w:rsidP="005620D7">
            <w:pPr>
              <w:rPr>
                <w:rFonts w:ascii="Arial" w:hAnsi="Arial" w:cs="Arial"/>
                <w:sz w:val="24"/>
                <w:szCs w:val="24"/>
              </w:rPr>
            </w:pPr>
            <w:r>
              <w:rPr>
                <w:rFonts w:ascii="Arial" w:hAnsi="Arial" w:cs="Arial"/>
                <w:sz w:val="24"/>
                <w:szCs w:val="24"/>
              </w:rPr>
              <w:t>100%</w:t>
            </w:r>
          </w:p>
        </w:tc>
        <w:tc>
          <w:tcPr>
            <w:tcW w:w="1027" w:type="dxa"/>
          </w:tcPr>
          <w:p w:rsidR="00622D5B" w:rsidRDefault="00E23336" w:rsidP="005620D7">
            <w:pPr>
              <w:rPr>
                <w:rFonts w:ascii="Arial" w:hAnsi="Arial" w:cs="Arial"/>
                <w:sz w:val="24"/>
                <w:szCs w:val="24"/>
              </w:rPr>
            </w:pPr>
            <w:r>
              <w:rPr>
                <w:rFonts w:ascii="Arial" w:hAnsi="Arial" w:cs="Arial"/>
                <w:sz w:val="24"/>
                <w:szCs w:val="24"/>
              </w:rPr>
              <w:t>92%</w:t>
            </w:r>
          </w:p>
        </w:tc>
        <w:tc>
          <w:tcPr>
            <w:tcW w:w="1027" w:type="dxa"/>
          </w:tcPr>
          <w:p w:rsidR="00622D5B" w:rsidRDefault="00E23336" w:rsidP="005620D7">
            <w:pPr>
              <w:rPr>
                <w:rFonts w:ascii="Arial" w:hAnsi="Arial" w:cs="Arial"/>
                <w:sz w:val="24"/>
                <w:szCs w:val="24"/>
              </w:rPr>
            </w:pPr>
            <w:r>
              <w:rPr>
                <w:rFonts w:ascii="Arial" w:hAnsi="Arial" w:cs="Arial"/>
                <w:sz w:val="24"/>
                <w:szCs w:val="24"/>
              </w:rPr>
              <w:t>100%</w:t>
            </w:r>
          </w:p>
        </w:tc>
        <w:tc>
          <w:tcPr>
            <w:tcW w:w="1027" w:type="dxa"/>
          </w:tcPr>
          <w:p w:rsidR="00622D5B" w:rsidRDefault="00E23336" w:rsidP="005620D7">
            <w:pPr>
              <w:rPr>
                <w:rFonts w:ascii="Arial" w:hAnsi="Arial" w:cs="Arial"/>
                <w:sz w:val="24"/>
                <w:szCs w:val="24"/>
              </w:rPr>
            </w:pPr>
            <w:r>
              <w:rPr>
                <w:rFonts w:ascii="Arial" w:hAnsi="Arial" w:cs="Arial"/>
                <w:sz w:val="24"/>
                <w:szCs w:val="24"/>
              </w:rPr>
              <w:t>90%</w:t>
            </w:r>
          </w:p>
        </w:tc>
        <w:tc>
          <w:tcPr>
            <w:tcW w:w="1027" w:type="dxa"/>
          </w:tcPr>
          <w:p w:rsidR="00622D5B" w:rsidRDefault="00E23336" w:rsidP="005620D7">
            <w:pPr>
              <w:rPr>
                <w:rFonts w:ascii="Arial" w:hAnsi="Arial" w:cs="Arial"/>
                <w:sz w:val="24"/>
                <w:szCs w:val="24"/>
              </w:rPr>
            </w:pPr>
            <w:r>
              <w:rPr>
                <w:rFonts w:ascii="Arial" w:hAnsi="Arial" w:cs="Arial"/>
                <w:sz w:val="24"/>
                <w:szCs w:val="24"/>
              </w:rPr>
              <w:t>100%</w:t>
            </w:r>
          </w:p>
        </w:tc>
        <w:tc>
          <w:tcPr>
            <w:tcW w:w="1027" w:type="dxa"/>
          </w:tcPr>
          <w:p w:rsidR="00622D5B" w:rsidRDefault="00E23336" w:rsidP="005620D7">
            <w:pPr>
              <w:rPr>
                <w:rFonts w:ascii="Arial" w:hAnsi="Arial" w:cs="Arial"/>
                <w:sz w:val="24"/>
                <w:szCs w:val="24"/>
              </w:rPr>
            </w:pPr>
            <w:r>
              <w:rPr>
                <w:rFonts w:ascii="Arial" w:hAnsi="Arial" w:cs="Arial"/>
                <w:sz w:val="24"/>
                <w:szCs w:val="24"/>
              </w:rPr>
              <w:t>84%</w:t>
            </w:r>
          </w:p>
        </w:tc>
      </w:tr>
    </w:tbl>
    <w:p w:rsidR="00622D5B" w:rsidRDefault="00622D5B" w:rsidP="005620D7">
      <w:pPr>
        <w:rPr>
          <w:rFonts w:ascii="Arial" w:hAnsi="Arial" w:cs="Arial"/>
          <w:sz w:val="24"/>
          <w:szCs w:val="24"/>
        </w:rPr>
      </w:pPr>
    </w:p>
    <w:p w:rsidR="00622D5B" w:rsidRDefault="00E23336" w:rsidP="005620D7">
      <w:pPr>
        <w:rPr>
          <w:rFonts w:ascii="Arial" w:hAnsi="Arial" w:cs="Arial"/>
          <w:sz w:val="24"/>
          <w:szCs w:val="24"/>
        </w:rPr>
      </w:pPr>
      <w:r>
        <w:rPr>
          <w:rFonts w:ascii="Arial" w:hAnsi="Arial" w:cs="Arial"/>
          <w:sz w:val="24"/>
          <w:szCs w:val="24"/>
        </w:rPr>
        <w:t xml:space="preserve">The figures show that our mathematics intervention strategies have been particularly effective in narrowing the attainment gaps between FSM and non-FSM pupils. </w:t>
      </w:r>
    </w:p>
    <w:p w:rsidR="00E23336" w:rsidRDefault="007241EC" w:rsidP="005620D7">
      <w:pPr>
        <w:rPr>
          <w:rFonts w:ascii="Arial" w:hAnsi="Arial" w:cs="Arial"/>
          <w:sz w:val="24"/>
          <w:szCs w:val="24"/>
        </w:rPr>
      </w:pPr>
      <w:r>
        <w:rPr>
          <w:rFonts w:ascii="Arial" w:hAnsi="Arial" w:cs="Arial"/>
          <w:sz w:val="24"/>
          <w:szCs w:val="24"/>
        </w:rPr>
        <w:t>We are also pleased to see that the attainments of FSM in reading and writing exceeded national percentages but will continue to work to close the gaps caused by disadvantage.</w:t>
      </w:r>
    </w:p>
    <w:p w:rsidR="00622D5B" w:rsidRDefault="00622D5B" w:rsidP="005620D7">
      <w:pPr>
        <w:rPr>
          <w:rFonts w:ascii="Arial" w:hAnsi="Arial" w:cs="Arial"/>
          <w:sz w:val="24"/>
          <w:szCs w:val="24"/>
        </w:rPr>
      </w:pPr>
    </w:p>
    <w:p w:rsidR="00622D5B" w:rsidRDefault="00622D5B" w:rsidP="005620D7">
      <w:pPr>
        <w:rPr>
          <w:rFonts w:ascii="Arial" w:hAnsi="Arial" w:cs="Arial"/>
          <w:sz w:val="24"/>
          <w:szCs w:val="24"/>
        </w:rPr>
      </w:pPr>
    </w:p>
    <w:p w:rsidR="00622D5B" w:rsidRPr="00914738" w:rsidRDefault="00622D5B" w:rsidP="005620D7">
      <w:pPr>
        <w:rPr>
          <w:rFonts w:ascii="Arial" w:hAnsi="Arial" w:cs="Arial"/>
          <w:sz w:val="24"/>
          <w:szCs w:val="24"/>
        </w:rPr>
      </w:pPr>
    </w:p>
    <w:sectPr w:rsidR="00622D5B" w:rsidRPr="00914738" w:rsidSect="000B00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7"/>
    <w:rsid w:val="00011B3B"/>
    <w:rsid w:val="000B00DA"/>
    <w:rsid w:val="00414FC2"/>
    <w:rsid w:val="00552CD8"/>
    <w:rsid w:val="005620D7"/>
    <w:rsid w:val="00562E91"/>
    <w:rsid w:val="00622D5B"/>
    <w:rsid w:val="007241EC"/>
    <w:rsid w:val="00904B6C"/>
    <w:rsid w:val="00914738"/>
    <w:rsid w:val="00934E1D"/>
    <w:rsid w:val="009A5412"/>
    <w:rsid w:val="00A0369B"/>
    <w:rsid w:val="00A54BE2"/>
    <w:rsid w:val="00A617B4"/>
    <w:rsid w:val="00C62A89"/>
    <w:rsid w:val="00CF6F95"/>
    <w:rsid w:val="00D02B7A"/>
    <w:rsid w:val="00D62388"/>
    <w:rsid w:val="00D97F59"/>
    <w:rsid w:val="00E23336"/>
    <w:rsid w:val="00E671E3"/>
    <w:rsid w:val="00F008A0"/>
    <w:rsid w:val="00FD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JoGriffin</cp:lastModifiedBy>
  <cp:revision>2</cp:revision>
  <dcterms:created xsi:type="dcterms:W3CDTF">2015-11-27T14:11:00Z</dcterms:created>
  <dcterms:modified xsi:type="dcterms:W3CDTF">2015-11-27T14:11:00Z</dcterms:modified>
</cp:coreProperties>
</file>